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spacing w:after="0" w:line="240" w:lineRule="auto"/>
        <w:ind/>
        <w:jc w:val="both"/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Na osnovu člana 23. Zakona o ministarstvima i drugim organima uprave Tuzlanskog kantona („Službene novine Tuzlanskog kantona“, broj: 10/18 – prečišćeni tekst) i člana 8.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stav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 (3) Odluke o utvrđivanju uslova, kriterija i postupka za raspodjelu sredstava sa potrošačke jedinice 32010002 –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Tjelesna kultura i sport za 2023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.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godinu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, („Službene n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ovine Tuzlanskog kantona”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 broj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: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11/23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), a u vezi sa Odlukom o utvrđivanju kriterija za dodjelu kantonalne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 nagrade, priznanja i stipendija za sport za 2023.godinu u  Tuzlanskom kantonu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broj: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02/1-36-29296-2/23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                             od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 14.11.2023.godine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Ministarstvo za kulturu, sport i mlade Tuzlanskog kantona, raspisuje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</w:r>
    </w:p>
    <w:p>
      <w:pPr>
        <w:pBdr/>
        <w:shd w:val="clear" w:color="auto" w:fill="ffffff"/>
        <w:spacing w:after="0" w:line="240" w:lineRule="auto"/>
        <w:ind/>
        <w:jc w:val="center"/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</w:pPr>
      <w:r/>
      <w:bookmarkStart w:id="0" w:name="_GoBack"/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GB" w:eastAsia="en-GB"/>
        </w:rPr>
        <w:t xml:space="preserve">JAVNI POZIV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</w:r>
    </w:p>
    <w:p>
      <w:pPr>
        <w:pBdr/>
        <w:shd w:val="clear" w:color="auto" w:fill="ffffff"/>
        <w:spacing w:after="0" w:line="240" w:lineRule="auto"/>
        <w:ind/>
        <w:jc w:val="center"/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GB" w:eastAsia="en-GB"/>
        </w:rPr>
        <w:t xml:space="preserve">za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GB" w:eastAsia="en-GB"/>
        </w:rPr>
        <w:t xml:space="preserve"> dodjelu sportskih stipendij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GB" w:eastAsia="en-GB"/>
        </w:rPr>
        <w:t xml:space="preserve">a za sportiste i trenere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GB" w:eastAsia="en-GB"/>
        </w:rPr>
        <w:t xml:space="preserve"> za 2023.godinu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GB" w:eastAsia="en-GB"/>
        </w:rPr>
        <w:t xml:space="preserve"> </w:t>
      </w:r>
      <w:bookmarkEnd w:id="0"/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</w:r>
    </w:p>
    <w:p>
      <w:pPr>
        <w:pBdr/>
        <w:shd w:val="clear" w:color="auto" w:fill="ffffff"/>
        <w:spacing w:after="0" w:line="240" w:lineRule="auto"/>
        <w:ind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val="en-GB" w:eastAsia="en-GB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GB" w:eastAsia="en-GB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GB" w:eastAsia="en-GB"/>
        </w:rPr>
      </w:r>
    </w:p>
    <w:p>
      <w:pPr>
        <w:pBdr/>
        <w:shd w:val="clear" w:color="auto" w:fill="ffffff"/>
        <w:spacing w:after="0" w:line="240" w:lineRule="auto"/>
        <w:ind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val="en-GB" w:eastAsia="en-GB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GB" w:eastAsia="en-GB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GB" w:eastAsia="en-GB"/>
        </w:rPr>
      </w:r>
    </w:p>
    <w:p>
      <w:pPr>
        <w:pBdr/>
        <w:shd w:val="clear" w:color="auto" w:fill="ffffff"/>
        <w:spacing w:after="0" w:line="240" w:lineRule="auto"/>
        <w:ind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val="en-GB" w:eastAsia="en-GB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GB" w:eastAsia="en-GB"/>
        </w:rPr>
        <w:t xml:space="preserve">I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GB" w:eastAsia="en-GB"/>
        </w:rPr>
      </w:r>
    </w:p>
    <w:p>
      <w:pPr>
        <w:pBdr/>
        <w:shd w:val="clear" w:color="auto" w:fill="ffffff"/>
        <w:spacing w:after="0" w:line="240" w:lineRule="auto"/>
        <w:ind/>
        <w:jc w:val="center"/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</w:r>
    </w:p>
    <w:p>
      <w:pPr>
        <w:pBdr/>
        <w:shd w:val="clear" w:color="auto" w:fill="ffffff"/>
        <w:spacing w:after="0" w:line="240" w:lineRule="auto"/>
        <w:ind/>
        <w:jc w:val="center"/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GB" w:eastAsia="en-GB"/>
        </w:rPr>
        <w:t xml:space="preserve">Predmet Javnog poziva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</w:pP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Predmet Javnog poziva za dodjelu sportskih stipendij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a za sportiste i trenere za 2023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.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godinu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 (u daljem tekstu: Javni poziv) je prikupljanje prijava za odabir korisnika sredstava utvrđenih u Bu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džetu Tuzlanskog kantona za 2023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.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godinu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 na potrošačkoj jedinici 32010002 - „Tjelesna kultura i sport“, planirana na ekonomskom kodu 614200 - Tekući transferi pojedincima u iznosu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od 110.000,00 KM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 (slovima: stotinu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desethiljada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 i 00/100 KM).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</w:r>
    </w:p>
    <w:p>
      <w:pPr>
        <w:pBdr/>
        <w:shd w:val="clear" w:color="auto" w:fill="ffffff"/>
        <w:spacing w:after="0" w:line="240" w:lineRule="auto"/>
        <w:ind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val="en-GB" w:eastAsia="en-GB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GB" w:eastAsia="en-GB"/>
        </w:rPr>
        <w:t xml:space="preserve">II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GB" w:eastAsia="en-GB"/>
        </w:rPr>
      </w:r>
    </w:p>
    <w:p>
      <w:pPr>
        <w:pBdr/>
        <w:shd w:val="clear" w:color="auto" w:fill="ffffff"/>
        <w:spacing w:after="0" w:line="240" w:lineRule="auto"/>
        <w:ind/>
        <w:jc w:val="center"/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</w:r>
    </w:p>
    <w:p>
      <w:pPr>
        <w:pBdr/>
        <w:shd w:val="clear" w:color="auto" w:fill="ffffff"/>
        <w:spacing w:after="0" w:line="240" w:lineRule="auto"/>
        <w:ind/>
        <w:jc w:val="center"/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GB" w:eastAsia="en-GB"/>
        </w:rPr>
        <w:t xml:space="preserve">Pravo i uslovi za dodjelu stipendije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</w:r>
    </w:p>
    <w:p>
      <w:pPr>
        <w:pBdr/>
        <w:spacing w:after="0" w:line="240" w:lineRule="auto"/>
        <w:ind/>
        <w:jc w:val="center"/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</w:pP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(1) Pravo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na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 dodjelu stipendije ima sportista i trener koji je u 2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022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.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godini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 ostvario jedan od rezultata iz tačke III ovog Javnog poziva, odnosno koji je ostvario: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</w:r>
    </w:p>
    <w:p>
      <w:pPr>
        <w:pStyle w:val="627"/>
        <w:numPr>
          <w:ilvl w:val="0"/>
          <w:numId w:val="1"/>
        </w:numPr>
        <w:pBdr/>
        <w:spacing w:after="0" w:line="240" w:lineRule="auto"/>
        <w:ind/>
        <w:jc w:val="center"/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zapažene sportske rezultate ili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</w:r>
    </w:p>
    <w:p>
      <w:pPr>
        <w:pStyle w:val="627"/>
        <w:numPr>
          <w:ilvl w:val="0"/>
          <w:numId w:val="1"/>
        </w:numPr>
        <w:pBdr/>
        <w:spacing w:after="0" w:line="240" w:lineRule="auto"/>
        <w:ind/>
        <w:jc w:val="center"/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perspektivne sportske rezultate ili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</w:r>
    </w:p>
    <w:p>
      <w:pPr>
        <w:pStyle w:val="627"/>
        <w:numPr>
          <w:ilvl w:val="0"/>
          <w:numId w:val="1"/>
        </w:numPr>
        <w:pBdr/>
        <w:spacing w:after="0" w:line="240" w:lineRule="auto"/>
        <w:ind/>
        <w:jc w:val="center"/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sportske rezultate specijalne olimpijade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</w:r>
    </w:p>
    <w:p>
      <w:pPr>
        <w:pBdr/>
        <w:spacing w:after="0" w:line="240" w:lineRule="auto"/>
        <w:ind/>
        <w:jc w:val="center"/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(2) Sportista koji je ostvario zapažene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ili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 perspektivne ili sportske rezultate specijalne olimpijade mora ispunjavati sljedeće uslove za dodjelu stipendije: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</w:r>
    </w:p>
    <w:p>
      <w:pPr>
        <w:pBdr/>
        <w:spacing w:after="0" w:line="240" w:lineRule="auto"/>
        <w:ind w:left="426"/>
        <w:jc w:val="center"/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t xml:space="preserve">a)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da je državljanin Bosne i Hercegovine i da nije mijenjao državljanstvo,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b)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da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 ima mjesto prebivališta na području Kantona,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c) da je rezultat ostvario kao član reprezentacije Bosne i Hercegovine ili kao član sportske organiz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acije sa područja Kantona u 2022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. godini,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d) da je u vrijeme ostvarenog rezultata aktivni član sportske organizacije sa područja Kantona sa kojom ima potpisan ugovor u skladu sa Zakonom,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e) da je registrovan u skladu sa pravilima određene grane sporta,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f) da mu je utvrđena zdravstvena sposobnost za obavljanje sportskih aktivnosti u skladu sa Zakonom.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</w:r>
    </w:p>
    <w:p>
      <w:pPr>
        <w:pBdr/>
        <w:spacing w:after="0" w:line="240" w:lineRule="auto"/>
        <w:ind w:hanging="426" w:left="426"/>
        <w:jc w:val="center"/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(3) Trener koji je ostvario zapažene ili perspektivne ili sportske rezultate specijalne olimpijade mora ispunjavati sljedeće uslove za dodjelu stipendije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: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a) da je državljanin Bosne i Hercegovine i da nije mijenjao državljanstvo,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b) da ima mjesto prebivališta na području Kantona,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c) da je rezultat ostvario kao trener reprezentacije Bosne i Hercegovine ili kao trener sportske organiz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acije sa područja Kantona u 2022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.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godini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,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d) da je u vrijeme ostvarenog rezultata trener u sportskoj organizaciji sa područja Kantona sa kojom ima potpisan ugovor u skladu sa Zakonom,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e) da mu je utvrđena zdravstvena sposobnost za obavljanje sportskih aktivnosti u skladu sa Zakonom.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</w:r>
    </w:p>
    <w:p>
      <w:pPr>
        <w:pBdr/>
        <w:spacing w:after="0" w:line="240" w:lineRule="auto"/>
        <w:ind w:hanging="426" w:left="426"/>
        <w:jc w:val="center"/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(4) Pravo na dodjelu stipendije nemaju: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a)sportisti i treneri koji su ostvarili rezultate u kategorijama mlađim od 12 godina,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b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)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lica koja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 imaju potpisan profesionalni ugovor sa sportskom organizacijom,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c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) lica koja se prema članu 66. Zakona ne mogu baviti sportom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,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d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) lica kojima je izrečena pravosnažna mjera zabrane takmičenja od strane evropske i svjetske sportske federacije,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e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) lica kojima je izrečena pravosnažna kazna zbog kršenja antidoping pravila,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f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) lica kojima je dodijeljena sportska nagrada za istu sezonu,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g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) lica koja primaju ili su primila naknadu za ostvarene rezultate u istoj godini ili za isti rezultat od bilo kojeg drugog organa uprave ili drugog nivoa administrativnog organizovanja.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</w:r>
    </w:p>
    <w:p>
      <w:pPr>
        <w:pBdr/>
        <w:spacing w:after="0" w:line="240" w:lineRule="auto"/>
        <w:ind w:hanging="426" w:left="426"/>
        <w:jc w:val="center"/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(5) Lica koja budu dostavila neistinite podatke o ostvarenim rezultatima neće imati pravo da podnose zahtjeve za dodjelu nagrada i stipendija četiri godine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od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 dana kada se utvrdi da dostavljeni rezultat nije istinit i biće im utvrđena obaveza vraćanja dodijeljenih sredstava.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</w:r>
    </w:p>
    <w:p>
      <w:pPr>
        <w:pBdr/>
        <w:spacing w:after="0" w:line="240" w:lineRule="auto"/>
        <w:ind w:hanging="426" w:left="426"/>
        <w:jc w:val="center"/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(6) Lica koja budu ostvarila pravo na stipendiju iz Budžeta Tuzlanskog kanton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a, a koja se odluče da ostvare pravo na nagradu ili stipendiju, u istoj godini ili za isti rezultat, sa drugog nivoa administrativnog organizovanja mogu odustati od dodjele sredstava iz Budžeta Tuzlanskog kantona ili izvršiti povrat dodijeljenih sredstava.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</w:r>
    </w:p>
    <w:p>
      <w:pPr>
        <w:pBdr/>
        <w:spacing w:after="0" w:line="240" w:lineRule="auto"/>
        <w:ind w:hanging="426" w:left="426"/>
        <w:jc w:val="center"/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</w:r>
    </w:p>
    <w:p>
      <w:pPr>
        <w:pBdr/>
        <w:shd w:val="clear" w:color="auto" w:fill="ffffff"/>
        <w:spacing w:after="0" w:line="240" w:lineRule="auto"/>
        <w:ind/>
        <w:jc w:val="center"/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GB" w:eastAsia="en-GB"/>
        </w:rPr>
        <w:t xml:space="preserve">III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</w:r>
    </w:p>
    <w:p>
      <w:pPr>
        <w:pBdr/>
        <w:shd w:val="clear" w:color="auto" w:fill="ffffff"/>
        <w:spacing w:after="0" w:line="240" w:lineRule="auto"/>
        <w:ind/>
        <w:jc w:val="center"/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GB" w:eastAsia="en-GB"/>
        </w:rPr>
        <w:t xml:space="preserve">Kategorije koje se vrednuju za dodjelu stipendije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</w:r>
    </w:p>
    <w:p>
      <w:pPr>
        <w:pBdr/>
        <w:spacing w:after="0" w:line="240" w:lineRule="auto"/>
        <w:ind/>
        <w:jc w:val="center"/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</w:r>
    </w:p>
    <w:p>
      <w:pPr>
        <w:pBdr/>
        <w:spacing w:after="0" w:line="240" w:lineRule="auto"/>
        <w:ind/>
        <w:jc w:val="center"/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</w:pP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(</w:t>
      </w:r>
      <w:r>
        <w:rPr>
          <w:rFonts w:ascii="Times New Roman" w:hAnsi="Times New Roman" w:eastAsia="Times New Roman" w:cs="Times New Roman"/>
          <w:b/>
          <w:sz w:val="24"/>
          <w:szCs w:val="24"/>
          <w:shd w:val="clear" w:color="auto" w:fill="ffffff"/>
          <w:lang w:val="en-GB" w:eastAsia="en-GB"/>
        </w:rPr>
        <w:t xml:space="preserve">1) Zapaženi sportski rezultati - smatraju se rezultati u seniorskoj kategoriji kako slijedi</w:t>
      </w:r>
      <w:r>
        <w:rPr>
          <w:rFonts w:ascii="Times New Roman" w:hAnsi="Times New Roman" w:eastAsia="Times New Roman" w:cs="Times New Roman"/>
          <w:b/>
          <w:sz w:val="24"/>
          <w:szCs w:val="24"/>
          <w:shd w:val="clear" w:color="auto" w:fill="ffffff"/>
          <w:lang w:val="en-GB" w:eastAsia="en-GB"/>
        </w:rPr>
        <w:t xml:space="preserve">:</w:t>
      </w:r>
      <w:r>
        <w:rPr>
          <w:rFonts w:ascii="Times New Roman" w:hAnsi="Times New Roman" w:eastAsia="Times New Roman" w:cs="Times New Roman"/>
          <w:b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b/>
          <w:sz w:val="24"/>
          <w:szCs w:val="24"/>
          <w:shd w:val="clear" w:color="auto" w:fill="ffffff"/>
          <w:lang w:val="en-GB" w:eastAsia="en-GB"/>
        </w:rPr>
        <w:t xml:space="preserve">a) rezultati sportista međunarodnog „C“ razreda koji se odnose na:</w:t>
      </w:r>
      <w:r>
        <w:rPr>
          <w:rFonts w:ascii="Times New Roman" w:hAnsi="Times New Roman" w:eastAsia="Times New Roman" w:cs="Times New Roman"/>
          <w:b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◦ osvojeno I-III mjesto na zvaničnim Sv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jetskim i Evropskim prvenstvima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, u sportskim disciplinama koje nisu na zvaničnom programu Olimpijskih igara a koje su u nadležnosti međunarodnog sportskog saveza kojeg priznaje Globalna asocijacija međunarodnih sportskih federacija (GAISF),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◦ osvojeno IV-X mjesto na Mediteranskim igrama.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b/>
          <w:sz w:val="24"/>
          <w:szCs w:val="24"/>
          <w:shd w:val="clear" w:color="auto" w:fill="ffffff"/>
          <w:lang w:val="en-GB" w:eastAsia="en-GB"/>
        </w:rPr>
        <w:t xml:space="preserve">b) rezultati sportista međunarodnog „D“ razreda koji se odnose na:</w:t>
      </w:r>
      <w:r>
        <w:rPr>
          <w:rFonts w:ascii="Times New Roman" w:hAnsi="Times New Roman" w:eastAsia="Times New Roman" w:cs="Times New Roman"/>
          <w:b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◦ osvojeno IV-X mjesto na Svjetskom prvenstvu1 u sportskim disciplinama koje nisu na zvaničnom programu Olimpijskih igara a koje su u nadležnosti međunarodnog sportskog saveza kojeg priznaje Globalna asocijacija međunarodnih sportskih federacija (GAISF),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◦ osvojeno IV-X mjesto na Evropskom prvenstvu1 u sportskim disciplinama koje nisu na zvaničnom programu Olimpijskih igara a koje su u nadležnosti međunarodnog sportskog saveza kojeg priznaje Globalna asocijacija međunarodnih sportskih federacija (GAISF).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b/>
          <w:sz w:val="24"/>
          <w:szCs w:val="24"/>
          <w:shd w:val="clear" w:color="auto" w:fill="ffffff"/>
          <w:lang w:val="en-GB" w:eastAsia="en-GB"/>
        </w:rPr>
        <w:t xml:space="preserve">c) rezultati sportista nacionalne „A“ klase koji se odnose na rezultate potvrđene od strane državnog sportskog saveza u određenoj grani sporta u sportskim disciplinama koje su na zvaničnom programu Olimpijskih/Paraolimpijskih igara:</w:t>
      </w:r>
      <w:r>
        <w:rPr>
          <w:rFonts w:ascii="Times New Roman" w:hAnsi="Times New Roman" w:eastAsia="Times New Roman" w:cs="Times New Roman"/>
          <w:b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◦ osvojeno I mjesto na završnici Premijer lige/najvišem nivou takmičenja organizovanom na nivou BiH u ekipnim sportovima,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◦ osvojeno I mjesto u KUP-u BiH u ekipnim sportovima,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◦ osvojeno I mjesto na zvaničnom državnom prvenstvu na nivou BiH/Premijer ligi u individualnim sportovima,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◦ ispunjena norma ili ostvaren plasman za učešće na klupskom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Evropskom prvenstvu prvog nivoa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b/>
          <w:sz w:val="24"/>
          <w:szCs w:val="24"/>
          <w:shd w:val="clear" w:color="auto" w:fill="ffffff"/>
          <w:lang w:val="en-GB" w:eastAsia="en-GB"/>
        </w:rPr>
        <w:t xml:space="preserve">d) rezultati sportista nacionalne „B“ klase koji se odnose na rezultate potvrđene od strane državnog sportskog saveza u određenoj grani sporta u sportskim disciplinama koje su na zvaničnom programu Olimpijskih/Paraolimpijskih igara:</w:t>
      </w:r>
      <w:r>
        <w:rPr>
          <w:rFonts w:ascii="Times New Roman" w:hAnsi="Times New Roman" w:eastAsia="Times New Roman" w:cs="Times New Roman"/>
          <w:b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◦ osvojeno II-III mjesto na završnici Premijer lige/najvišem nivou takmičenja organizovanom na nivou BiH u ekipnim sportovima,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◦ osvojeno II mjesto u KUP-u BiH u ekipnim sportovima,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◦ osvojeno II mjesto na zvaničnom državnom prvenstvu BiH na nivou BiH/Premijer ligi u individualnim sportovima,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◦ ispunjena norma ili ostvaren plasman za učešće na klupskom E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vropskom prvenstvu drugog nivoa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b/>
          <w:sz w:val="24"/>
          <w:szCs w:val="24"/>
          <w:shd w:val="clear" w:color="auto" w:fill="ffffff"/>
          <w:lang w:val="en-GB" w:eastAsia="en-GB"/>
        </w:rPr>
        <w:t xml:space="preserve">e) rezultati sportista nacionalne „C“ klase koji se odnose na rezultate potvrđene od strane dr</w:t>
      </w:r>
      <w:r>
        <w:rPr>
          <w:rFonts w:ascii="Times New Roman" w:hAnsi="Times New Roman" w:eastAsia="Times New Roman" w:cs="Times New Roman"/>
          <w:b/>
          <w:sz w:val="24"/>
          <w:szCs w:val="24"/>
          <w:shd w:val="clear" w:color="auto" w:fill="ffffff"/>
          <w:lang w:val="en-GB" w:eastAsia="en-GB"/>
        </w:rPr>
        <w:t xml:space="preserve">žavnog sportskog saveza u određenoj grani sporta u sportskim disciplinama koje nisu na zvaničnom programu Olimpijskih igara a koje su u nadležnosti međunarodnog sportskog saveza kojeg priznaje Globalna asocijacija međunarodnih sportskih federacija (GAISF):</w:t>
      </w:r>
      <w:r>
        <w:rPr>
          <w:rFonts w:ascii="Times New Roman" w:hAnsi="Times New Roman" w:eastAsia="Times New Roman" w:cs="Times New Roman"/>
          <w:b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◦ osvojeno I mjesto na završnici Premijer lige/najvišem nivou takmičenja organizovanom na nivou BiH u ekipnim sportovima,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◦ osvojeno I mjesto u KUP-u BiH u ekipnim sportovima,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◦ osvojeno I mjesto na zvaničnom državnom prvenstvu na nivou BiH/Premijer ligi u individualnim sportovima.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b/>
          <w:sz w:val="24"/>
          <w:szCs w:val="24"/>
          <w:shd w:val="clear" w:color="auto" w:fill="ffffff"/>
          <w:lang w:val="en-GB" w:eastAsia="en-GB"/>
        </w:rPr>
        <w:t xml:space="preserve">f) rezultati sportista nacionalne „D“ klase koji se odnose na rezultate potvrđene od strane dr</w:t>
      </w:r>
      <w:r>
        <w:rPr>
          <w:rFonts w:ascii="Times New Roman" w:hAnsi="Times New Roman" w:eastAsia="Times New Roman" w:cs="Times New Roman"/>
          <w:b/>
          <w:sz w:val="24"/>
          <w:szCs w:val="24"/>
          <w:shd w:val="clear" w:color="auto" w:fill="ffffff"/>
          <w:lang w:val="en-GB" w:eastAsia="en-GB"/>
        </w:rPr>
        <w:t xml:space="preserve">žavnog sportskog saveza u određenoj grani sporta u sportskim disciplinama koje nisu na zvaničnom programu Olimpijskih igara a koje su u nadležnosti međunarodnog sportskog saveza kojeg priznaje Globalna asocijacija međunarodnih sportskih federacija (GAISF):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◦ osvojeno II-III mjesto na završnici Premijer lige/najvišem nivou takmičenja organizovanom na nivou BiH u ekipnim sportovima,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◦ osvojeno II mjesto u KUP-u BiH u ekipnim sportovima,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◦ osvojeno II mjesto na zvaničnom državnom prvenstvu na nivou BiH/Premijer ligi u individualnim sportovima.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b/>
          <w:sz w:val="24"/>
          <w:szCs w:val="24"/>
          <w:shd w:val="clear" w:color="auto" w:fill="ffffff"/>
          <w:lang w:val="en-GB" w:eastAsia="en-GB"/>
        </w:rPr>
        <w:t xml:space="preserve">(2) </w:t>
      </w:r>
      <w:r>
        <w:rPr>
          <w:rFonts w:ascii="Times New Roman" w:hAnsi="Times New Roman" w:eastAsia="Times New Roman" w:cs="Times New Roman"/>
          <w:b/>
          <w:sz w:val="24"/>
          <w:szCs w:val="24"/>
          <w:shd w:val="clear" w:color="auto" w:fill="ffffff"/>
          <w:lang w:val="en-GB" w:eastAsia="en-GB"/>
        </w:rPr>
        <w:t xml:space="preserve">Perspektivni sportski rezultati</w:t>
      </w:r>
      <w:r>
        <w:rPr>
          <w:rFonts w:ascii="Times New Roman" w:hAnsi="Times New Roman" w:eastAsia="Times New Roman" w:cs="Times New Roman"/>
          <w:b/>
          <w:sz w:val="24"/>
          <w:szCs w:val="24"/>
          <w:shd w:val="clear" w:color="auto" w:fill="ffffff"/>
          <w:lang w:val="en-GB" w:eastAsia="en-GB"/>
        </w:rPr>
        <w:t xml:space="preserve"> smatraju se rezultati ostvareni u mlađim seniorima ili juniorskoj ili kadetskoj ili pionirskoj kategoriji:</w:t>
      </w:r>
      <w:r>
        <w:rPr>
          <w:rFonts w:ascii="Times New Roman" w:hAnsi="Times New Roman" w:eastAsia="Times New Roman" w:cs="Times New Roman"/>
          <w:b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b/>
          <w:sz w:val="24"/>
          <w:szCs w:val="24"/>
          <w:shd w:val="clear" w:color="auto" w:fill="ffffff"/>
          <w:lang w:val="en-GB" w:eastAsia="en-GB"/>
        </w:rPr>
        <w:t xml:space="preserve">a) rezultati p</w:t>
      </w:r>
      <w:r>
        <w:rPr>
          <w:rFonts w:ascii="Times New Roman" w:hAnsi="Times New Roman" w:eastAsia="Times New Roman" w:cs="Times New Roman"/>
          <w:b/>
          <w:sz w:val="24"/>
          <w:szCs w:val="24"/>
          <w:shd w:val="clear" w:color="auto" w:fill="ffffff"/>
          <w:lang w:val="en-GB" w:eastAsia="en-GB"/>
        </w:rPr>
        <w:t xml:space="preserve">erspektivnih sportista međunarodnog „E“ razreda u sportskim disciplinama koje su na zvaničnom programu Olimpijskih/Paraolimpijskih igara u organizaciji Međunarodnog olimpijskog komiteta (IOC) i Međunarodnog paraolimpijskog komiteta (IPC) koji se odnose na:</w:t>
      </w:r>
      <w:r>
        <w:rPr>
          <w:rFonts w:ascii="Times New Roman" w:hAnsi="Times New Roman" w:eastAsia="Times New Roman" w:cs="Times New Roman"/>
          <w:b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◦ osvojeno I-III mjesto na Olimpijskim igrama za mlade,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◦ osvojeno I-III mjesto na Evropskim olimpijskim igrama za mlade,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◦ osvojeno I-III mjesto na Svjetskom i Evropskom prvenstvu,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◦ osvojeno I-III/IV mjesto na klupskom Evropskom prvenstvu prvog nivoa1.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b/>
          <w:sz w:val="24"/>
          <w:szCs w:val="24"/>
          <w:shd w:val="clear" w:color="auto" w:fill="ffffff"/>
          <w:lang w:val="en-GB" w:eastAsia="en-GB"/>
        </w:rPr>
        <w:t xml:space="preserve">b) rezultati p</w:t>
      </w:r>
      <w:r>
        <w:rPr>
          <w:rFonts w:ascii="Times New Roman" w:hAnsi="Times New Roman" w:eastAsia="Times New Roman" w:cs="Times New Roman"/>
          <w:b/>
          <w:sz w:val="24"/>
          <w:szCs w:val="24"/>
          <w:shd w:val="clear" w:color="auto" w:fill="ffffff"/>
          <w:lang w:val="en-GB" w:eastAsia="en-GB"/>
        </w:rPr>
        <w:t xml:space="preserve">erspektivnih sportista međunarodnog „F“ razreda u sportskim disciplinama koje su na zvaničnom programu Olimpijskih/Paraolimpijskih igara u organizaciji Međunarodnog olimpijskog komiteta (IOC) i Međunarodnog paraolimpijskog komiteta (IPC) koji se odnose na:</w:t>
      </w:r>
      <w:r>
        <w:rPr>
          <w:rFonts w:ascii="Times New Roman" w:hAnsi="Times New Roman" w:eastAsia="Times New Roman" w:cs="Times New Roman"/>
          <w:b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◦ ispunjena norma ili ostvaren plasman za učešće na Olimpijskim igrama za mlade i Evropskim olimpijskim igrama za mlade,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◦ ispunjena norma ili ostvaren plasman za učešće na Svjetskom prvenstvu,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◦ osvojeno IV-X mjesto na Evropskom prvenstvu,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◦ ispunjena norma ili ostvaren plasman za učešće na klupskom Evropskom prvenstvu prvog nivoa1.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c</w:t>
      </w:r>
      <w:r>
        <w:rPr>
          <w:rFonts w:ascii="Times New Roman" w:hAnsi="Times New Roman" w:eastAsia="Times New Roman" w:cs="Times New Roman"/>
          <w:b/>
          <w:sz w:val="24"/>
          <w:szCs w:val="24"/>
          <w:shd w:val="clear" w:color="auto" w:fill="ffffff"/>
          <w:lang w:val="en-GB" w:eastAsia="en-GB"/>
        </w:rPr>
        <w:t xml:space="preserve">) </w:t>
      </w:r>
      <w:r>
        <w:rPr>
          <w:rFonts w:ascii="Times New Roman" w:hAnsi="Times New Roman" w:eastAsia="Times New Roman" w:cs="Times New Roman"/>
          <w:b/>
          <w:sz w:val="24"/>
          <w:szCs w:val="24"/>
          <w:shd w:val="clear" w:color="auto" w:fill="ffffff"/>
          <w:lang w:val="en-GB" w:eastAsia="en-GB"/>
        </w:rPr>
        <w:t xml:space="preserve">rezultati</w:t>
      </w:r>
      <w:r>
        <w:rPr>
          <w:rFonts w:ascii="Times New Roman" w:hAnsi="Times New Roman" w:eastAsia="Times New Roman" w:cs="Times New Roman"/>
          <w:b/>
          <w:sz w:val="24"/>
          <w:szCs w:val="24"/>
          <w:shd w:val="clear" w:color="auto" w:fill="ffffff"/>
          <w:lang w:val="en-GB" w:eastAsia="en-GB"/>
        </w:rPr>
        <w:t xml:space="preserve"> perspektivnih spor</w:t>
      </w:r>
      <w:r>
        <w:rPr>
          <w:rFonts w:ascii="Times New Roman" w:hAnsi="Times New Roman" w:eastAsia="Times New Roman" w:cs="Times New Roman"/>
          <w:b/>
          <w:sz w:val="24"/>
          <w:szCs w:val="24"/>
          <w:shd w:val="clear" w:color="auto" w:fill="ffffff"/>
          <w:lang w:val="en-GB" w:eastAsia="en-GB"/>
        </w:rPr>
        <w:t xml:space="preserve">tista međunarodnog „G“ razreda u sportskim disciplinama koje nisu na zvaničnom programu Olimpijskih igara a koje su u nadležnosti međunarodnog sportskog saveza kojeg priznaje Globalna asocijacija međunarodnih sportskih federacija (GAISF) koji se odnose na:</w:t>
      </w:r>
      <w:r>
        <w:rPr>
          <w:rFonts w:ascii="Times New Roman" w:hAnsi="Times New Roman" w:eastAsia="Times New Roman" w:cs="Times New Roman"/>
          <w:b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◦ osvojeno I-III mjesto na zvaničnim Svjetskim i Evropskim prvenstvima1.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d)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rezultati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 perspektivnih spor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tista međunarodnog „H“ razreda u sportskim disciplinama koje nisu na zvaničnom programu Olimpijskih igara a koje su u nadležnosti međunarodnog sportskog saveza kojeg priznaje Globalna asocijacija međunarodnih sportskih federacija (GAISF) koji se odnose na: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◦ osvojeno IV-X mjesto na zvaničnim Svjetskim i Evropskim prvenstvima1.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e</w:t>
      </w:r>
      <w:r>
        <w:rPr>
          <w:rFonts w:ascii="Times New Roman" w:hAnsi="Times New Roman" w:eastAsia="Times New Roman" w:cs="Times New Roman"/>
          <w:b/>
          <w:sz w:val="24"/>
          <w:szCs w:val="24"/>
          <w:shd w:val="clear" w:color="auto" w:fill="ffffff"/>
          <w:lang w:val="en-GB" w:eastAsia="en-GB"/>
        </w:rPr>
        <w:t xml:space="preserve">) rezultati perspektivnih sportista nacionalnog razreda u sportskim disciplinama koje su na zvaničnom programu Olimpijskih/Paraolimpijskih igara u organizaciji Međunarodnog olimpijskog komiteta (IOC) i Međunarodnog paraolimpijskog k</w:t>
      </w:r>
      <w:r>
        <w:rPr>
          <w:rFonts w:ascii="Times New Roman" w:hAnsi="Times New Roman" w:eastAsia="Times New Roman" w:cs="Times New Roman"/>
          <w:b/>
          <w:sz w:val="24"/>
          <w:szCs w:val="24"/>
          <w:shd w:val="clear" w:color="auto" w:fill="ffffff"/>
          <w:lang w:val="en-GB" w:eastAsia="en-GB"/>
        </w:rPr>
        <w:t xml:space="preserve">omiteta (IPC) koji se odnose na</w:t>
      </w:r>
      <w:r>
        <w:rPr>
          <w:rFonts w:ascii="Times New Roman" w:hAnsi="Times New Roman" w:eastAsia="Times New Roman" w:cs="Times New Roman"/>
          <w:b/>
          <w:sz w:val="24"/>
          <w:szCs w:val="24"/>
          <w:shd w:val="clear" w:color="auto" w:fill="ffffff"/>
          <w:lang w:val="en-GB" w:eastAsia="en-GB"/>
        </w:rPr>
        <w:t xml:space="preserve">:</w:t>
      </w:r>
      <w:r>
        <w:rPr>
          <w:rFonts w:ascii="Times New Roman" w:hAnsi="Times New Roman" w:eastAsia="Times New Roman" w:cs="Times New Roman"/>
          <w:b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◦ osvojeno I-II mjesto na završnici Premijer lige/najvišem nivou takmičenja organizovanom na nivou BiH u ekipnim sportovima,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◦ osvojeno I-II mjesto na zvaničnom državnom prvenstvu na nivou BiH/Premijer ligi u individualnim sportovima,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◦ nastup za reprezentaciju Bosne i Hercegovine na zvaničnim svjetskim i evropskim prvenstvima.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b/>
          <w:sz w:val="24"/>
          <w:szCs w:val="24"/>
          <w:shd w:val="clear" w:color="auto" w:fill="ffffff"/>
          <w:lang w:val="en-GB" w:eastAsia="en-GB"/>
        </w:rPr>
        <w:t xml:space="preserve">f) ostali rezultati perspektiv</w:t>
      </w:r>
      <w:r>
        <w:rPr>
          <w:rFonts w:ascii="Times New Roman" w:hAnsi="Times New Roman" w:eastAsia="Times New Roman" w:cs="Times New Roman"/>
          <w:b/>
          <w:sz w:val="24"/>
          <w:szCs w:val="24"/>
          <w:shd w:val="clear" w:color="auto" w:fill="ffffff"/>
          <w:lang w:val="en-GB" w:eastAsia="en-GB"/>
        </w:rPr>
        <w:t xml:space="preserve">nih sportista koji se odnose na</w:t>
      </w:r>
      <w:r>
        <w:rPr>
          <w:rFonts w:ascii="Times New Roman" w:hAnsi="Times New Roman" w:eastAsia="Times New Roman" w:cs="Times New Roman"/>
          <w:b/>
          <w:sz w:val="24"/>
          <w:szCs w:val="24"/>
          <w:shd w:val="clear" w:color="auto" w:fill="ffffff"/>
          <w:lang w:val="en-GB" w:eastAsia="en-GB"/>
        </w:rPr>
        <w:t xml:space="preserve">:</w:t>
      </w:r>
      <w:r>
        <w:rPr>
          <w:rFonts w:ascii="Times New Roman" w:hAnsi="Times New Roman" w:eastAsia="Times New Roman" w:cs="Times New Roman"/>
          <w:b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◦ osvojeno I-II mjesto na završnici Prem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ijer lige/državnom prvenstvu Bosne i Hercegovine u sportskim disciplinama koje nisu na zvaničnom programu Olimpijskih igara a koje su u nadležnosti međunarodnog sportskog saveza kojeg priznaje Globalna asocijacija međunarodnih sportskih federacija (GAISF),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◦ nastup za reprezentaciju Bosne i He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rcegovine na Svjetskim i Evropskim prvenstvima1, u sportskim disciplinama koje nisu na zvaničnom programu Olimpijskih igara a koje su u nadležnosti međunarodnog sportskog saveza kojeg priznaje Globalna asocijacija međunarodnih sportskih federacija (GAISF).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</w:r>
    </w:p>
    <w:p>
      <w:pPr>
        <w:pBdr/>
        <w:spacing w:after="0" w:line="240" w:lineRule="auto"/>
        <w:ind/>
        <w:jc w:val="center"/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</w:r>
    </w:p>
    <w:p>
      <w:pPr>
        <w:pBdr/>
        <w:spacing w:after="0" w:line="240" w:lineRule="auto"/>
        <w:ind/>
        <w:jc w:val="center"/>
        <w:rPr>
          <w:rFonts w:ascii="Times New Roman" w:hAnsi="Times New Roman" w:eastAsia="Times New Roman" w:cs="Times New Roman"/>
          <w:i/>
          <w:sz w:val="24"/>
          <w:szCs w:val="24"/>
          <w:lang w:val="en-GB" w:eastAsia="en-GB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shd w:val="clear" w:color="auto" w:fill="ffffff"/>
          <w:lang w:val="en-GB" w:eastAsia="en-GB"/>
        </w:rPr>
        <w:t xml:space="preserve">(3) Sportskim rezultatima specijalne olimpijade smatraju se osvojene medalje </w:t>
      </w:r>
      <w:r>
        <w:rPr>
          <w:rFonts w:ascii="Times New Roman" w:hAnsi="Times New Roman" w:eastAsia="Times New Roman" w:cs="Times New Roman"/>
          <w:i/>
          <w:sz w:val="24"/>
          <w:szCs w:val="24"/>
          <w:shd w:val="clear" w:color="auto" w:fill="ffffff"/>
          <w:lang w:val="en-GB" w:eastAsia="en-GB"/>
        </w:rPr>
        <w:t xml:space="preserve">sa</w:t>
      </w:r>
      <w:r>
        <w:rPr>
          <w:rFonts w:ascii="Times New Roman" w:hAnsi="Times New Roman" w:eastAsia="Times New Roman" w:cs="Times New Roman"/>
          <w:i/>
          <w:sz w:val="24"/>
          <w:szCs w:val="24"/>
          <w:shd w:val="clear" w:color="auto" w:fill="ffffff"/>
          <w:lang w:val="en-GB" w:eastAsia="en-GB"/>
        </w:rPr>
        <w:t xml:space="preserve"> zvaničnih svjetskih i evropskih prvenstava specijalne olimpijade i državnih prvenstava 1. </w:t>
      </w:r>
      <w:r>
        <w:rPr>
          <w:rFonts w:ascii="Times New Roman" w:hAnsi="Times New Roman" w:eastAsia="Times New Roman" w:cs="Times New Roman"/>
          <w:i/>
          <w:sz w:val="24"/>
          <w:szCs w:val="24"/>
          <w:shd w:val="clear" w:color="auto" w:fill="ffffff"/>
          <w:lang w:val="en-GB" w:eastAsia="en-GB"/>
        </w:rPr>
        <w:t xml:space="preserve">kategorije</w:t>
      </w:r>
      <w:r>
        <w:rPr>
          <w:rFonts w:ascii="Times New Roman" w:hAnsi="Times New Roman" w:eastAsia="Times New Roman" w:cs="Times New Roman"/>
          <w:i/>
          <w:sz w:val="24"/>
          <w:szCs w:val="24"/>
          <w:shd w:val="clear" w:color="auto" w:fill="ffffff"/>
          <w:lang w:val="en-GB" w:eastAsia="en-GB"/>
        </w:rPr>
        <w:t xml:space="preserve">.</w:t>
      </w:r>
      <w:r>
        <w:rPr>
          <w:rFonts w:ascii="Times New Roman" w:hAnsi="Times New Roman" w:eastAsia="Times New Roman" w:cs="Times New Roman"/>
          <w:i/>
          <w:sz w:val="24"/>
          <w:szCs w:val="24"/>
          <w:lang w:val="en-GB" w:eastAsia="en-GB"/>
        </w:rPr>
      </w:r>
    </w:p>
    <w:p>
      <w:pPr>
        <w:pBdr/>
        <w:spacing w:after="0" w:line="240" w:lineRule="auto"/>
        <w:ind/>
        <w:jc w:val="center"/>
        <w:rPr>
          <w:rFonts w:ascii="Times New Roman" w:hAnsi="Times New Roman" w:eastAsia="Times New Roman" w:cs="Times New Roman"/>
          <w:i/>
          <w:sz w:val="24"/>
          <w:szCs w:val="24"/>
          <w:shd w:val="clear" w:color="auto" w:fill="ffffff"/>
          <w:lang w:val="en-GB" w:eastAsia="en-GB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shd w:val="clear" w:color="auto" w:fill="ffffff"/>
          <w:lang w:val="en-GB" w:eastAsia="en-GB"/>
        </w:rPr>
        <w:t xml:space="preserve">(4) Izrazi koji se koriste za fizička lica, a koji su u ovom javnom pozivu naznačeni u muškom rodu su neutralni i odnose se </w:t>
      </w:r>
      <w:r>
        <w:rPr>
          <w:rFonts w:ascii="Times New Roman" w:hAnsi="Times New Roman" w:eastAsia="Times New Roman" w:cs="Times New Roman"/>
          <w:i/>
          <w:sz w:val="24"/>
          <w:szCs w:val="24"/>
          <w:shd w:val="clear" w:color="auto" w:fill="ffffff"/>
          <w:lang w:val="en-GB" w:eastAsia="en-GB"/>
        </w:rPr>
        <w:t xml:space="preserve">na</w:t>
      </w:r>
      <w:r>
        <w:rPr>
          <w:rFonts w:ascii="Times New Roman" w:hAnsi="Times New Roman" w:eastAsia="Times New Roman" w:cs="Times New Roman"/>
          <w:i/>
          <w:sz w:val="24"/>
          <w:szCs w:val="24"/>
          <w:shd w:val="clear" w:color="auto" w:fill="ffffff"/>
          <w:lang w:val="en-GB" w:eastAsia="en-GB"/>
        </w:rPr>
        <w:t xml:space="preserve"> oba spola.</w:t>
      </w:r>
      <w:r>
        <w:rPr>
          <w:rFonts w:ascii="Times New Roman" w:hAnsi="Times New Roman" w:eastAsia="Times New Roman" w:cs="Times New Roman"/>
          <w:i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i/>
          <w:sz w:val="24"/>
          <w:szCs w:val="24"/>
          <w:shd w:val="clear" w:color="auto" w:fill="ffffff"/>
          <w:lang w:val="en-GB" w:eastAsia="en-GB"/>
        </w:rPr>
        <w:t xml:space="preserve">(5) Ekipnim sportovima smatraju se: fudbal, košarka, rukomet, odbojka, futsal, hokej, ragbi, vaterpolo, sjedeća odbojka, košarka u kolicima, fudbal </w:t>
      </w:r>
      <w:r>
        <w:rPr>
          <w:rFonts w:ascii="Times New Roman" w:hAnsi="Times New Roman" w:eastAsia="Times New Roman" w:cs="Times New Roman"/>
          <w:i/>
          <w:sz w:val="24"/>
          <w:szCs w:val="24"/>
          <w:shd w:val="clear" w:color="auto" w:fill="ffffff"/>
          <w:lang w:val="en-GB" w:eastAsia="en-GB"/>
        </w:rPr>
        <w:t xml:space="preserve">sa</w:t>
      </w:r>
      <w:r>
        <w:rPr>
          <w:rFonts w:ascii="Times New Roman" w:hAnsi="Times New Roman" w:eastAsia="Times New Roman" w:cs="Times New Roman"/>
          <w:i/>
          <w:sz w:val="24"/>
          <w:szCs w:val="24"/>
          <w:shd w:val="clear" w:color="auto" w:fill="ffffff"/>
          <w:lang w:val="en-GB" w:eastAsia="en-GB"/>
        </w:rPr>
        <w:t xml:space="preserve"> 5 i 7 igrača, golbal i drugi ekipni sportovi.</w:t>
      </w:r>
      <w:r>
        <w:rPr>
          <w:rFonts w:ascii="Times New Roman" w:hAnsi="Times New Roman" w:eastAsia="Times New Roman" w:cs="Times New Roman"/>
          <w:i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i/>
          <w:sz w:val="24"/>
          <w:szCs w:val="24"/>
          <w:shd w:val="clear" w:color="auto" w:fill="ffffff"/>
          <w:lang w:val="en-GB" w:eastAsia="en-GB"/>
        </w:rPr>
        <w:t xml:space="preserve">(6) Individualnim sportovima smatraju se: atletika, plivanje, tenis, gimnastika, stoni tenis, hrvanje, džudo, streljaštvo, </w:t>
      </w:r>
      <w:r>
        <w:rPr>
          <w:rFonts w:ascii="Times New Roman" w:hAnsi="Times New Roman" w:eastAsia="Times New Roman" w:cs="Times New Roman"/>
          <w:i/>
          <w:sz w:val="24"/>
          <w:szCs w:val="24"/>
          <w:shd w:val="clear" w:color="auto" w:fill="ffffff"/>
          <w:lang w:val="en-GB" w:eastAsia="en-GB"/>
        </w:rPr>
        <w:t xml:space="preserve">boks</w:t>
      </w:r>
      <w:r>
        <w:rPr>
          <w:rFonts w:ascii="Times New Roman" w:hAnsi="Times New Roman" w:eastAsia="Times New Roman" w:cs="Times New Roman"/>
          <w:i/>
          <w:sz w:val="24"/>
          <w:szCs w:val="24"/>
          <w:shd w:val="clear" w:color="auto" w:fill="ffffff"/>
          <w:lang w:val="en-GB" w:eastAsia="en-GB"/>
        </w:rPr>
        <w:t xml:space="preserve">, kik boks, karate, skijanje, kuglanje, sportski ples i drugi individualni sportovi.</w:t>
      </w:r>
      <w:r>
        <w:rPr>
          <w:rFonts w:ascii="Times New Roman" w:hAnsi="Times New Roman" w:eastAsia="Times New Roman" w:cs="Times New Roman"/>
          <w:i/>
          <w:sz w:val="24"/>
          <w:szCs w:val="24"/>
          <w:shd w:val="clear" w:color="auto" w:fill="ffffff"/>
          <w:lang w:val="en-GB" w:eastAsia="en-GB"/>
        </w:rPr>
      </w:r>
    </w:p>
    <w:p>
      <w:pPr>
        <w:pBdr/>
        <w:spacing w:after="0" w:line="240" w:lineRule="auto"/>
        <w:ind/>
        <w:jc w:val="center"/>
        <w:rPr>
          <w:rFonts w:ascii="Times New Roman" w:hAnsi="Times New Roman" w:eastAsia="Times New Roman" w:cs="Times New Roman"/>
          <w:i/>
          <w:sz w:val="24"/>
          <w:szCs w:val="24"/>
          <w:lang w:val="en-GB" w:eastAsia="en-GB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i/>
          <w:sz w:val="24"/>
          <w:szCs w:val="24"/>
          <w:lang w:val="en-GB" w:eastAsia="en-GB"/>
        </w:rPr>
      </w:r>
    </w:p>
    <w:p>
      <w:pPr>
        <w:pBdr/>
        <w:shd w:val="clear" w:color="auto" w:fill="ffffff"/>
        <w:spacing w:after="0" w:line="240" w:lineRule="auto"/>
        <w:ind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val="en-GB" w:eastAsia="en-GB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GB" w:eastAsia="en-GB"/>
        </w:rPr>
        <w:t xml:space="preserve">IV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GB" w:eastAsia="en-GB"/>
        </w:rPr>
      </w:r>
    </w:p>
    <w:p>
      <w:pPr>
        <w:pBdr/>
        <w:shd w:val="clear" w:color="auto" w:fill="ffffff"/>
        <w:spacing w:after="0" w:line="240" w:lineRule="auto"/>
        <w:ind/>
        <w:jc w:val="center"/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</w:r>
    </w:p>
    <w:p>
      <w:pPr>
        <w:pBdr/>
        <w:shd w:val="clear" w:color="auto" w:fill="ffffff"/>
        <w:spacing w:after="0" w:line="240" w:lineRule="auto"/>
        <w:ind/>
        <w:jc w:val="center"/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GB" w:eastAsia="en-GB"/>
        </w:rPr>
        <w:t xml:space="preserve">Način isplate i visina stipendije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Stipendije se dodjeljuju u jednokratnom ukupnom iznosu i iste će biti dodijeljene u skladu sa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Odlukom o utvrđivanju kriterija za dodjelu kantonalne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 nagrade, priznanja i stipendija za sport za 2023.godinu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u  Tuzlanskom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 kantonu broj: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02/1-36-29296-2/23 od 14.11.2023.godine.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          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</w:r>
    </w:p>
    <w:p>
      <w:pPr>
        <w:pBdr/>
        <w:shd w:val="clear" w:color="auto" w:fill="ffffff"/>
        <w:spacing w:after="0" w:line="240" w:lineRule="auto"/>
        <w:ind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val="en-GB" w:eastAsia="en-GB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GB" w:eastAsia="en-GB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GB" w:eastAsia="en-GB"/>
        </w:rPr>
      </w:r>
    </w:p>
    <w:p>
      <w:pPr>
        <w:pBdr/>
        <w:shd w:val="clear" w:color="auto" w:fill="ffffff"/>
        <w:spacing w:after="0" w:line="240" w:lineRule="auto"/>
        <w:ind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val="en-GB" w:eastAsia="en-GB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GB" w:eastAsia="en-GB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GB" w:eastAsia="en-GB"/>
        </w:rPr>
      </w:r>
    </w:p>
    <w:p>
      <w:pPr>
        <w:pBdr/>
        <w:shd w:val="clear" w:color="auto" w:fill="ffffff"/>
        <w:spacing w:after="0" w:line="240" w:lineRule="auto"/>
        <w:ind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val="en-GB" w:eastAsia="en-GB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GB" w:eastAsia="en-GB"/>
        </w:rPr>
        <w:t xml:space="preserve">V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GB" w:eastAsia="en-GB"/>
        </w:rPr>
      </w:r>
    </w:p>
    <w:p>
      <w:pPr>
        <w:pBdr/>
        <w:shd w:val="clear" w:color="auto" w:fill="ffffff"/>
        <w:spacing w:after="0" w:line="240" w:lineRule="auto"/>
        <w:ind/>
        <w:jc w:val="center"/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</w:r>
    </w:p>
    <w:p>
      <w:pPr>
        <w:pBdr/>
        <w:shd w:val="clear" w:color="auto" w:fill="ffffff"/>
        <w:spacing w:after="0" w:line="240" w:lineRule="auto"/>
        <w:ind/>
        <w:jc w:val="center"/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GB" w:eastAsia="en-GB"/>
        </w:rPr>
        <w:t xml:space="preserve">Opće odredbe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</w:r>
    </w:p>
    <w:p>
      <w:pPr>
        <w:pBdr/>
        <w:spacing/>
        <w:ind/>
        <w:jc w:val="center"/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b/>
          <w:bCs/>
          <w:sz w:val="24"/>
          <w:szCs w:val="24"/>
          <w:shd w:val="clear" w:color="auto" w:fill="ffffff"/>
          <w:lang w:val="en-GB" w:eastAsia="en-GB"/>
        </w:rPr>
        <w:t xml:space="preserve">Objava Javnog poziva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Javni poziv se objavljuje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na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 web stranici Vlade Tuzlanskog kantona: </w:t>
      </w:r>
      <w:hyperlink r:id="rId9" w:tooltip="http://www.vladatk.gov.ba/" w:history="1">
        <w:r>
          <w:rPr>
            <w:rFonts w:ascii="Times New Roman" w:hAnsi="Times New Roman" w:eastAsia="Times New Roman" w:cs="Times New Roman"/>
            <w:sz w:val="24"/>
            <w:szCs w:val="24"/>
            <w:u w:val="single"/>
            <w:shd w:val="clear" w:color="auto" w:fill="ffffff"/>
            <w:lang w:val="en-GB" w:eastAsia="en-GB"/>
          </w:rPr>
          <w:t xml:space="preserve">www.vladatk.gov.ba</w:t>
        </w:r>
      </w:hyperlink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  i web stranici Ministarstva: </w:t>
      </w:r>
      <w:hyperlink r:id="rId10" w:tooltip="http://www.mksmtk.gov.ba/" w:history="1">
        <w:r>
          <w:rPr>
            <w:rFonts w:ascii="Times New Roman" w:hAnsi="Times New Roman" w:eastAsia="Times New Roman" w:cs="Times New Roman"/>
            <w:sz w:val="24"/>
            <w:szCs w:val="24"/>
            <w:u w:val="single"/>
            <w:shd w:val="clear" w:color="auto" w:fill="ffffff"/>
            <w:lang w:val="en-GB" w:eastAsia="en-GB"/>
          </w:rPr>
          <w:t xml:space="preserve">www.mksmtk.gov.ba</w:t>
        </w:r>
      </w:hyperlink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 .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</w:r>
    </w:p>
    <w:p>
      <w:pPr>
        <w:pBdr/>
        <w:spacing/>
        <w:ind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shd w:val="clear" w:color="auto" w:fill="ffffff"/>
          <w:lang w:val="en-GB" w:eastAsia="en-GB"/>
        </w:rPr>
      </w:pP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b/>
          <w:bCs/>
          <w:sz w:val="24"/>
          <w:szCs w:val="24"/>
          <w:shd w:val="clear" w:color="auto" w:fill="ffffff"/>
          <w:lang w:val="en-GB" w:eastAsia="en-GB"/>
        </w:rPr>
        <w:t xml:space="preserve">Način podnošenja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shd w:val="clear" w:color="auto" w:fill="ffffff"/>
          <w:lang w:val="en-GB" w:eastAsia="en-GB"/>
        </w:rPr>
        <w:t xml:space="preserve">prijave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(1) Podnosilac prijave za dodjelu stipendije može biti sportista, zakonski zastupnik/roditelj/staratelj ako se radi o maloljetnoj osobi, trener ako se stipendija odnosi na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rezultat trenera i matična sportska organizacija sportiste u čije ime se podnosi prijava.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(2) Podnosilac prijave za dodjelu stipendije (sportista i trener) prilikom prijave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na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 Javni poziv obavezno dostavlja: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shd w:val="clear" w:color="auto" w:fill="ffffff"/>
          <w:lang w:val="en-GB" w:eastAsia="en-GB"/>
        </w:rPr>
      </w:r>
    </w:p>
    <w:p>
      <w:pPr>
        <w:pBdr/>
        <w:spacing/>
        <w:ind/>
        <w:jc w:val="center"/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a) Popunjen </w:t>
      </w:r>
      <w:r>
        <w:rPr>
          <w:rFonts w:ascii="Times New Roman" w:hAnsi="Times New Roman" w:eastAsia="Times New Roman" w:cs="Times New Roman"/>
          <w:b/>
          <w:sz w:val="24"/>
          <w:szCs w:val="24"/>
          <w:shd w:val="clear" w:color="auto" w:fill="ffffff"/>
          <w:lang w:val="en-GB" w:eastAsia="en-GB"/>
        </w:rPr>
        <w:t xml:space="preserve">PRIJAVNI OBRAZAC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na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 način da sportista popunjava „Prijavni obrazac za dodjelu sportskih stipendija za sportistu“, a trener popunjava „Prijavni obrazac za dodjelu sportskih stipendija za trenera“. Prijavni obrasci se mogu preuzeti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na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 web stranici Vlade Tuzlanskog kantona: </w:t>
      </w:r>
      <w:hyperlink r:id="rId11" w:tooltip="http://www.vladatk.gov.ba/" w:history="1">
        <w:r>
          <w:rPr>
            <w:rFonts w:ascii="Times New Roman" w:hAnsi="Times New Roman" w:eastAsia="Times New Roman" w:cs="Times New Roman"/>
            <w:sz w:val="24"/>
            <w:szCs w:val="24"/>
            <w:u w:val="single"/>
            <w:shd w:val="clear" w:color="auto" w:fill="ffffff"/>
            <w:lang w:val="en-GB" w:eastAsia="en-GB"/>
          </w:rPr>
          <w:t xml:space="preserve">www.vladatk.gov.ba</w:t>
        </w:r>
      </w:hyperlink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 .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i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 web stranici Ministarstva: </w:t>
      </w:r>
      <w:hyperlink r:id="rId12" w:tooltip="https://mksmtk.gov.ba/" w:history="1">
        <w:r>
          <w:rPr>
            <w:rFonts w:ascii="Times New Roman" w:hAnsi="Times New Roman" w:eastAsia="Times New Roman" w:cs="Times New Roman"/>
            <w:sz w:val="24"/>
            <w:szCs w:val="24"/>
            <w:u w:val="single"/>
            <w:shd w:val="clear" w:color="auto" w:fill="ffffff"/>
            <w:lang w:val="en-GB" w:eastAsia="en-GB"/>
          </w:rPr>
          <w:t xml:space="preserve">https://mksmtk.gov.ba</w:t>
        </w:r>
      </w:hyperlink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 /obrasci i lično u prostorijama Ministarstva za kulturu, sport i mlade Tuzlanskog kantona..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</w:r>
    </w:p>
    <w:p>
      <w:pPr>
        <w:pBdr/>
        <w:spacing/>
        <w:ind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shd w:val="clear" w:color="auto" w:fill="ffffff"/>
          <w:lang w:val="en-GB" w:eastAsia="en-GB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shd w:val="clear" w:color="auto" w:fill="ffffff"/>
          <w:lang w:val="en-GB" w:eastAsia="en-GB"/>
        </w:rPr>
        <w:t xml:space="preserve">b) POTREBNU DOKUMENTACIJU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1) Uvjerenje o državljanstvu ne starije od tri mjeseca (original ili ovjerena kopija)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,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2) CIPS obrazac PBA3 ne stariji od 30 dana (original ili ovjerena kopija),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3) Izjava da aplikant nije lice koje prema članu 4.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stav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 (7) Odluke nema pravo na dodjelu stipendije (potpisana od strane sportiste/trenera i ovjerena od strane nadležnog organa za ovjeru. Ukoliko se radi o maloljetnom licu roditelj/staratelj daje izjavu.),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4) Potvrda nadležnog sportskog saveza/sportskog saveza lica sa invaliditetom/olimpijskog komiteta/paraol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impijskog komiteta/specijalne olimpijade, (original potvrda potpisana od strane ovlaštenog lica i ovjerena pečatom), dostavlja se za sportistu i za trenera koji je ostvario zapažene ili perspektivne ili sportske rezultate specijalne olimpijade na način da: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▪ potvrda za aplikanta koji je ostvario zapažene sportske rezultate treba da sadrži podatke o ostvarenom zapaženom rezultatu (naziv takmičenja, ostvareni rezultat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, godina u kojoj je rezultat ostvaren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 i kategoriju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u kojoj je rezultat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 ostvaren, broj zemalja učesnica na takmičenju), podatke kojim se dokazuje da je aplikant u vrijeme ostvarenog rezultata aktivni sportista ili trener sportske organizacije sa područja Tuz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lanskog kantona (navesti sportsku organizaciju), da je registrovan u skladu sa pravilima određene grane sporta, da mu je utvrđena zdravstvena sposobnost za obavljanje sportskih aktivnosti u skladu sa Zakonom, da je rezultat ostvario kao član reprezentacije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 Bosne i Hercegovine (ukoliko se radi o reprezentativnim rezultatima) ili kao član sportske organizacije sa područja Kantona (ukoliko se radi o klupskim rezultatima). Uz potvrdu se dostavlja Ugovor između sportiste/trenera i navedene sportske organizacije.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(</w:t>
      </w:r>
      <w:r>
        <w:rPr>
          <w:rFonts w:ascii="Times New Roman" w:hAnsi="Times New Roman" w:eastAsia="Times New Roman" w:cs="Times New Roman"/>
          <w:b/>
          <w:sz w:val="24"/>
          <w:szCs w:val="24"/>
          <w:shd w:val="clear" w:color="auto" w:fill="ffffff"/>
          <w:lang w:val="en-GB" w:eastAsia="en-GB"/>
        </w:rPr>
        <w:t xml:space="preserve">Napomena: Svi podaci se moraju odno</w:t>
      </w:r>
      <w:r>
        <w:rPr>
          <w:rFonts w:ascii="Times New Roman" w:hAnsi="Times New Roman" w:eastAsia="Times New Roman" w:cs="Times New Roman"/>
          <w:b/>
          <w:sz w:val="24"/>
          <w:szCs w:val="24"/>
          <w:shd w:val="clear" w:color="auto" w:fill="ffffff"/>
          <w:lang w:val="en-GB" w:eastAsia="en-GB"/>
        </w:rPr>
        <w:t xml:space="preserve">siti </w:t>
      </w:r>
      <w:r>
        <w:rPr>
          <w:rFonts w:ascii="Times New Roman" w:hAnsi="Times New Roman" w:eastAsia="Times New Roman" w:cs="Times New Roman"/>
          <w:b/>
          <w:sz w:val="24"/>
          <w:szCs w:val="24"/>
          <w:shd w:val="clear" w:color="auto" w:fill="ffffff"/>
          <w:lang w:val="en-GB" w:eastAsia="en-GB"/>
        </w:rPr>
        <w:t xml:space="preserve">na</w:t>
      </w:r>
      <w:r>
        <w:rPr>
          <w:rFonts w:ascii="Times New Roman" w:hAnsi="Times New Roman" w:eastAsia="Times New Roman" w:cs="Times New Roman"/>
          <w:b/>
          <w:sz w:val="24"/>
          <w:szCs w:val="24"/>
          <w:shd w:val="clear" w:color="auto" w:fill="ffffff"/>
          <w:lang w:val="en-GB" w:eastAsia="en-GB"/>
        </w:rPr>
        <w:t xml:space="preserve"> rezultat ostvaren u 2022</w:t>
      </w:r>
      <w:r>
        <w:rPr>
          <w:rFonts w:ascii="Times New Roman" w:hAnsi="Times New Roman" w:eastAsia="Times New Roman" w:cs="Times New Roman"/>
          <w:b/>
          <w:sz w:val="24"/>
          <w:szCs w:val="24"/>
          <w:shd w:val="clear" w:color="auto" w:fill="ffffff"/>
          <w:lang w:val="en-GB" w:eastAsia="en-GB"/>
        </w:rPr>
        <w:t xml:space="preserve">. godini, za koji je aplikant aplicirao za stipendiju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.)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▪ potvrda za aplikanta koji je ostvario perspektivne sportske rezultate treba da sadrži podatke o ostvarenom perspektivnom rezultatu (naziv takmičenja, ostvareni rezultat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godina u kojoj je rezultat ostvaren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 i kategoriju za rezultat ostvaren, broj zemalja učesnica na takmičenju), podatke da je aplikant u vrijeme ostvarenog rezultata aktivni sportista ili trener sportske organizacije sa područja Tuz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lanskog kantona (navesti sportsku organizaciju), da je registrovan u skladu sa pravilima određene grane sporta, da mu je utvrđena zdravstvena sposobnost za obavljanje sportskih aktivnosti u skladu sa Zakonom, da je rezultat ostvario kao član reprezentacije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 Bosne i Hercegovine (ukoliko se radi o reprezentativnim rezultatima) ili kao član sportske organizacije sa područja Kantona (ukoliko se radi o klupskim rezultatima). Uz potvrdu se dostavlja Ugovor između sportiste/trenera i navedene sportske organizacije.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b/>
          <w:sz w:val="24"/>
          <w:szCs w:val="24"/>
          <w:shd w:val="clear" w:color="auto" w:fill="ffffff"/>
          <w:lang w:val="en-GB" w:eastAsia="en-GB"/>
        </w:rPr>
        <w:t xml:space="preserve">(Napomena: Svi podaci se moraju odno</w:t>
      </w:r>
      <w:r>
        <w:rPr>
          <w:rFonts w:ascii="Times New Roman" w:hAnsi="Times New Roman" w:eastAsia="Times New Roman" w:cs="Times New Roman"/>
          <w:b/>
          <w:sz w:val="24"/>
          <w:szCs w:val="24"/>
          <w:shd w:val="clear" w:color="auto" w:fill="ffffff"/>
          <w:lang w:val="en-GB" w:eastAsia="en-GB"/>
        </w:rPr>
        <w:t xml:space="preserve">siti </w:t>
      </w:r>
      <w:r>
        <w:rPr>
          <w:rFonts w:ascii="Times New Roman" w:hAnsi="Times New Roman" w:eastAsia="Times New Roman" w:cs="Times New Roman"/>
          <w:b/>
          <w:sz w:val="24"/>
          <w:szCs w:val="24"/>
          <w:shd w:val="clear" w:color="auto" w:fill="ffffff"/>
          <w:lang w:val="en-GB" w:eastAsia="en-GB"/>
        </w:rPr>
        <w:t xml:space="preserve">na</w:t>
      </w:r>
      <w:r>
        <w:rPr>
          <w:rFonts w:ascii="Times New Roman" w:hAnsi="Times New Roman" w:eastAsia="Times New Roman" w:cs="Times New Roman"/>
          <w:b/>
          <w:sz w:val="24"/>
          <w:szCs w:val="24"/>
          <w:shd w:val="clear" w:color="auto" w:fill="ffffff"/>
          <w:lang w:val="en-GB" w:eastAsia="en-GB"/>
        </w:rPr>
        <w:t xml:space="preserve"> rezultat ostvaren u 2022.</w:t>
      </w:r>
      <w:r>
        <w:rPr>
          <w:rFonts w:ascii="Times New Roman" w:hAnsi="Times New Roman" w:eastAsia="Times New Roman" w:cs="Times New Roman"/>
          <w:b/>
          <w:sz w:val="24"/>
          <w:szCs w:val="24"/>
          <w:shd w:val="clear" w:color="auto" w:fill="ffffff"/>
          <w:lang w:val="en-GB" w:eastAsia="en-GB"/>
        </w:rPr>
        <w:t xml:space="preserve">godini, za koji je aplikant aplicirao za stipendiju.)</w:t>
      </w:r>
      <w:r>
        <w:rPr>
          <w:rFonts w:ascii="Times New Roman" w:hAnsi="Times New Roman" w:eastAsia="Times New Roman" w:cs="Times New Roman"/>
          <w:b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▪ potvrda za aplikanta koj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i je ostvario sportske rezultate specijalne olimpijade treba da sadrži podatke o ostvarenom rezultatu specijalne olimpijade (naziv takmičenja i ostvaren rezultat), podatke da je aplikant u vrijeme ostvarenog rezultata aktivni sportista ili trener sportske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organizacije sa područja Tuzlanskog kantona (navesti sportsku organizaciju), da je registrovan u skladu sa pravilima određene grane sporta, da mu je utvrđena zdravstvena sposobnost za obavljanje sportskih aktivnosti u s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kladu sa Zakonom i da je rezultat ostvario kao član reprezentacije Bosne i Hercegovine ili kao član sportske organizacije ukoliko se radi o rezultatu državnog prvaka. Uz potvrdu se dostavlja Ugovor između sportiste/trenera i navedene sportske organizacije.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(</w:t>
      </w:r>
      <w:r>
        <w:rPr>
          <w:rFonts w:ascii="Times New Roman" w:hAnsi="Times New Roman" w:eastAsia="Times New Roman" w:cs="Times New Roman"/>
          <w:b/>
          <w:sz w:val="24"/>
          <w:szCs w:val="24"/>
          <w:shd w:val="clear" w:color="auto" w:fill="ffffff"/>
          <w:lang w:val="en-GB" w:eastAsia="en-GB"/>
        </w:rPr>
        <w:t xml:space="preserve">Napomena: Svi podaci se moraju odno</w:t>
      </w:r>
      <w:r>
        <w:rPr>
          <w:rFonts w:ascii="Times New Roman" w:hAnsi="Times New Roman" w:eastAsia="Times New Roman" w:cs="Times New Roman"/>
          <w:b/>
          <w:sz w:val="24"/>
          <w:szCs w:val="24"/>
          <w:shd w:val="clear" w:color="auto" w:fill="ffffff"/>
          <w:lang w:val="en-GB" w:eastAsia="en-GB"/>
        </w:rPr>
        <w:t xml:space="preserve">siti </w:t>
      </w:r>
      <w:r>
        <w:rPr>
          <w:rFonts w:ascii="Times New Roman" w:hAnsi="Times New Roman" w:eastAsia="Times New Roman" w:cs="Times New Roman"/>
          <w:b/>
          <w:sz w:val="24"/>
          <w:szCs w:val="24"/>
          <w:shd w:val="clear" w:color="auto" w:fill="ffffff"/>
          <w:lang w:val="en-GB" w:eastAsia="en-GB"/>
        </w:rPr>
        <w:t xml:space="preserve">na</w:t>
      </w:r>
      <w:r>
        <w:rPr>
          <w:rFonts w:ascii="Times New Roman" w:hAnsi="Times New Roman" w:eastAsia="Times New Roman" w:cs="Times New Roman"/>
          <w:b/>
          <w:sz w:val="24"/>
          <w:szCs w:val="24"/>
          <w:shd w:val="clear" w:color="auto" w:fill="ffffff"/>
          <w:lang w:val="en-GB" w:eastAsia="en-GB"/>
        </w:rPr>
        <w:t xml:space="preserve"> rezultat ostvaren u 2022</w:t>
      </w:r>
      <w:r>
        <w:rPr>
          <w:rFonts w:ascii="Times New Roman" w:hAnsi="Times New Roman" w:eastAsia="Times New Roman" w:cs="Times New Roman"/>
          <w:b/>
          <w:sz w:val="24"/>
          <w:szCs w:val="24"/>
          <w:shd w:val="clear" w:color="auto" w:fill="ffffff"/>
          <w:lang w:val="en-GB" w:eastAsia="en-GB"/>
        </w:rPr>
        <w:t xml:space="preserve">. godini, za koji je aplikant aplicirao za stipendiju.)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5) Potvrda banke o broju računa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na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 koji se može izvršiti uplata stipendije. Ukoliko se radi o maloljetnom licu koje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nema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 otvoren račun, roditelj/staratelj dostavlja potvrdu banke sa brojem računa na svoje ime.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6) Aplikanti su obavezni dostaviti i dokumentaciju koja je navedena u aplikacijskom obrascu.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b/>
          <w:bCs/>
          <w:sz w:val="24"/>
          <w:szCs w:val="24"/>
          <w:shd w:val="clear" w:color="auto" w:fill="ffffff"/>
          <w:lang w:val="en-GB" w:eastAsia="en-GB"/>
        </w:rPr>
        <w:t xml:space="preserve">Dostavljanje prijava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Prijave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na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 Javni poziv dostavljaju se na propisanim obrascima sa kompletnom dokumentacijom, u zatvorenoj koverti, sa obaveznom naznakom: „Javni poziv za dodjelu sportskih stipendija za s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portiste i trenere za 2023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.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godinu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– NE OTVARAJ“, dostaviti lično na pisarnicu Ureda za zajedničke poslove kantonalnih organa ili preporučeno poštom na adresu: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shd w:val="clear" w:color="auto" w:fill="ffffff"/>
          <w:lang w:val="en-GB" w:eastAsia="en-GB"/>
        </w:rPr>
        <w:t xml:space="preserve">Tuzlanski kanton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shd w:val="clear" w:color="auto" w:fill="ffffff"/>
          <w:lang w:val="en-GB" w:eastAsia="en-GB"/>
        </w:rPr>
        <w:t xml:space="preserve">Ministarstvo za kulturu, sport i mlade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shd w:val="clear" w:color="auto" w:fill="ffffff"/>
          <w:lang w:val="en-GB" w:eastAsia="en-GB"/>
        </w:rPr>
        <w:t xml:space="preserve">Fra Grge Martića broj 8, 75000 Tuzla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b/>
          <w:bCs/>
          <w:sz w:val="24"/>
          <w:szCs w:val="24"/>
          <w:shd w:val="clear" w:color="auto" w:fill="ffffff"/>
          <w:lang w:val="en-GB" w:eastAsia="en-GB"/>
        </w:rPr>
        <w:t xml:space="preserve">Rok za dostavljanje prijava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Javni poziv ostaje otvoren do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30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shd w:val="clear" w:color="auto" w:fill="ffffff"/>
          <w:lang w:val="en-GB" w:eastAsia="en-GB"/>
        </w:rPr>
        <w:t xml:space="preserve">.11.2023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shd w:val="clear" w:color="auto" w:fill="ffffff"/>
          <w:lang w:val="en-GB" w:eastAsia="en-GB"/>
        </w:rPr>
        <w:t xml:space="preserve">.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shd w:val="clear" w:color="auto" w:fill="ffffff"/>
          <w:lang w:val="en-GB" w:eastAsia="en-GB"/>
        </w:rPr>
        <w:t xml:space="preserve">godine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 i biće objavljen na web stranici Vlade Tuzlanskog kantona </w:t>
      </w:r>
      <w:hyperlink r:id="rId13" w:tooltip="http://www.vladatk.gov.ba/" w:history="1">
        <w:r>
          <w:rPr>
            <w:rFonts w:ascii="Times New Roman" w:hAnsi="Times New Roman" w:eastAsia="Times New Roman" w:cs="Times New Roman"/>
            <w:sz w:val="24"/>
            <w:szCs w:val="24"/>
            <w:u w:val="single"/>
            <w:shd w:val="clear" w:color="auto" w:fill="ffffff"/>
            <w:lang w:val="en-GB" w:eastAsia="en-GB"/>
          </w:rPr>
          <w:t xml:space="preserve">www.vladatk.gov.ba</w:t>
        </w:r>
      </w:hyperlink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 .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i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 web stranici Ministarstva </w:t>
      </w:r>
      <w:hyperlink r:id="rId14" w:tooltip="http://www.mksmtk.gov.ba/" w:history="1">
        <w:r>
          <w:rPr>
            <w:rFonts w:ascii="Times New Roman" w:hAnsi="Times New Roman" w:eastAsia="Times New Roman" w:cs="Times New Roman"/>
            <w:sz w:val="24"/>
            <w:szCs w:val="24"/>
            <w:u w:val="single"/>
            <w:shd w:val="clear" w:color="auto" w:fill="ffffff"/>
            <w:lang w:val="en-GB" w:eastAsia="en-GB"/>
          </w:rPr>
          <w:t xml:space="preserve">www.mksmtk.gov.ba</w:t>
        </w:r>
      </w:hyperlink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 .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b/>
          <w:bCs/>
          <w:sz w:val="24"/>
          <w:szCs w:val="24"/>
          <w:shd w:val="clear" w:color="auto" w:fill="ffffff"/>
          <w:lang w:val="en-GB" w:eastAsia="en-GB"/>
        </w:rPr>
        <w:t xml:space="preserve">Informacije podnosiocima prijava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• Prispjela dokumentacija neće se vraćati.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• Prijave koje nisu dostavljenje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na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 propisanim obrascima, neblagovremene i nepotpune prijave, kao i prijave koje nisu dostavljene u navedenom roku neće biti razmatrane.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• Podnosioc prijave je odgovoran za tačnost podataka u prijavi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na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 propisanom obrascu.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• Aplikanti koji budu dostavili PBA 1 obrazac umjesto PBA 3 biće odbačeni.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• Potvrde nadležnih sportskih saveza koje ne budu sadržavale sve tražene elemente Javnog poziva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ili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 sadržaj istih bude nejasan neće se uzimati u razmatranje. Posebno voditi računa da se aplikant prijavljuje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sa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 jed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nim rezultatom ostvarenim u 2022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.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godini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 iz tačke III Javnog poziva i da se podaci u potvrdama moraju odnositi na taj ostvareni rezultat.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• U slučaju nedostatka sredstava u Budžetu Tuzlanskog kantona obustavlja se realizacija dodjele sredstava u potpunosti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ili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 djelimično, srazmjerno nedostajućim sredstvima.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• Sve dodatne informacije vezane za Javni poziv mogu se dobiti svakim radnim danom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na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 brojeve telefona: 035/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283-567 i 035/283-558 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br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• O rezultatima javnog poziva podnosioci prijava će biti obaviješteni putem web stranice Vlade Tuzlanskog kantona www.vladatk.gov.ba i web stranice Ministarstva: www.mksmtk.gov.ba.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shd w:val="clear" w:color="auto" w:fill="ffffff"/>
          <w:lang w:val="en-GB" w:eastAsia="en-GB"/>
        </w:rPr>
      </w:r>
    </w:p>
    <w:sectPr>
      <w:footnotePr/>
      <w:endnotePr/>
      <w:type w:val="nextPage"/>
      <w:pgSz w:h="16838" w:orient="landscape" w:w="11906"/>
      <w:pgMar w:top="851" w:right="1440" w:bottom="993" w:left="1440" w:header="708" w:footer="708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)"/>
      <w:numFmt w:val="decimal"/>
      <w:pPr>
        <w:pBdr/>
        <w:spacing/>
        <w:ind w:hanging="360" w:left="1440"/>
      </w:pPr>
      <w:rPr/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216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88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360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432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504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76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648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7200"/>
      </w:pPr>
      <w:rPr/>
      <w:start w:val="1"/>
      <w:suff w:val="space"/>
    </w:lvl>
  </w:abstractNum>
  <w:abstractNum w:abstractNumId="1">
    <w:lvl w:ilvl="0">
      <w:isLgl w:val="false"/>
      <w:lvlJc w:val="left"/>
      <w:lvlText w:val="%1)"/>
      <w:numFmt w:val="lowerLetter"/>
      <w:pPr>
        <w:pBdr/>
        <w:spacing/>
        <w:ind w:hanging="360" w:left="720"/>
      </w:pPr>
      <w:rPr/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space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pBdr/>
        <w:spacing w:after="160" w:afterAutospacing="0" w:before="0" w:beforeAutospacing="0" w:line="259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1"/>
    <w:next w:val="621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2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21"/>
    <w:next w:val="621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2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21"/>
    <w:next w:val="621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2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21"/>
    <w:next w:val="621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2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1"/>
    <w:next w:val="621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2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1"/>
    <w:next w:val="621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2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1"/>
    <w:next w:val="621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2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1"/>
    <w:next w:val="621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2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1"/>
    <w:next w:val="621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2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21"/>
    <w:next w:val="621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22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21"/>
    <w:next w:val="621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22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21"/>
    <w:next w:val="621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21"/>
    <w:next w:val="621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21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622"/>
    <w:link w:val="42"/>
    <w:uiPriority w:val="99"/>
    <w:pPr>
      <w:pBdr/>
      <w:spacing/>
      <w:ind/>
    </w:pPr>
  </w:style>
  <w:style w:type="paragraph" w:styleId="44">
    <w:name w:val="Footer"/>
    <w:basedOn w:val="621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622"/>
    <w:link w:val="44"/>
    <w:uiPriority w:val="99"/>
    <w:pPr>
      <w:pBdr/>
      <w:spacing/>
      <w:ind/>
    </w:pPr>
  </w:style>
  <w:style w:type="paragraph" w:styleId="46">
    <w:name w:val="Caption"/>
    <w:basedOn w:val="621"/>
    <w:next w:val="621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623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623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23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23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2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2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2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2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2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2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2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2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2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2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2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2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2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2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2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2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2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2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2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2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2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175">
    <w:name w:val="footnote text"/>
    <w:basedOn w:val="621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22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21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22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21"/>
    <w:next w:val="621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21"/>
    <w:next w:val="621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21"/>
    <w:next w:val="621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21"/>
    <w:next w:val="621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21"/>
    <w:next w:val="621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21"/>
    <w:next w:val="621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21"/>
    <w:next w:val="621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21"/>
    <w:next w:val="621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21"/>
    <w:next w:val="621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21"/>
    <w:next w:val="621"/>
    <w:uiPriority w:val="99"/>
    <w:unhideWhenUsed/>
    <w:pPr>
      <w:pBdr/>
      <w:spacing w:after="0" w:afterAutospacing="0"/>
      <w:ind/>
    </w:pPr>
  </w:style>
  <w:style w:type="paragraph" w:styleId="621" w:default="1">
    <w:name w:val="Normal"/>
    <w:qFormat/>
    <w:pPr>
      <w:pBdr/>
      <w:spacing/>
      <w:ind/>
    </w:pPr>
    <w:rPr>
      <w:lang w:val="bs-Latn-BA"/>
    </w:rPr>
  </w:style>
  <w:style w:type="character" w:styleId="622" w:default="1">
    <w:name w:val="Default Paragraph Font"/>
    <w:uiPriority w:val="1"/>
    <w:semiHidden/>
    <w:unhideWhenUsed/>
    <w:pPr>
      <w:pBdr/>
      <w:spacing/>
      <w:ind/>
    </w:pPr>
  </w:style>
  <w:style w:type="table" w:styleId="623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24" w:default="1">
    <w:name w:val="No List"/>
    <w:uiPriority w:val="99"/>
    <w:semiHidden/>
    <w:unhideWhenUsed/>
    <w:pPr>
      <w:pBdr/>
      <w:spacing/>
      <w:ind/>
    </w:pPr>
  </w:style>
  <w:style w:type="character" w:styleId="625">
    <w:name w:val="Strong"/>
    <w:basedOn w:val="622"/>
    <w:uiPriority w:val="22"/>
    <w:qFormat/>
    <w:pPr>
      <w:pBdr/>
      <w:spacing/>
      <w:ind/>
    </w:pPr>
    <w:rPr>
      <w:b/>
      <w:bCs/>
    </w:rPr>
  </w:style>
  <w:style w:type="character" w:styleId="626">
    <w:name w:val="Hyperlink"/>
    <w:basedOn w:val="622"/>
    <w:uiPriority w:val="99"/>
    <w:semiHidden/>
    <w:unhideWhenUsed/>
    <w:pPr>
      <w:pBdr/>
      <w:spacing/>
      <w:ind/>
    </w:pPr>
    <w:rPr>
      <w:color w:val="0000ff"/>
      <w:u w:val="single"/>
    </w:rPr>
  </w:style>
  <w:style w:type="paragraph" w:styleId="627">
    <w:name w:val="List Paragraph"/>
    <w:basedOn w:val="621"/>
    <w:uiPriority w:val="34"/>
    <w:qFormat/>
    <w:pPr>
      <w:pBdr/>
      <w:spacing/>
      <w:ind w:left="720"/>
      <w:contextualSpacing w:val="true"/>
    </w:pPr>
  </w:style>
  <w:style w:type="paragraph" w:styleId="628">
    <w:name w:val="Balloon Text"/>
    <w:basedOn w:val="621"/>
    <w:link w:val="629"/>
    <w:uiPriority w:val="99"/>
    <w:semiHidden/>
    <w:unhideWhenUsed/>
    <w:pPr>
      <w:pBdr/>
      <w:spacing w:after="0" w:line="240" w:lineRule="auto"/>
      <w:ind/>
    </w:pPr>
    <w:rPr>
      <w:rFonts w:ascii="Segoe UI" w:hAnsi="Segoe UI" w:cs="Segoe UI"/>
      <w:sz w:val="18"/>
      <w:szCs w:val="18"/>
    </w:rPr>
  </w:style>
  <w:style w:type="character" w:styleId="629" w:customStyle="1">
    <w:name w:val="Tekst balončića Char"/>
    <w:basedOn w:val="622"/>
    <w:link w:val="628"/>
    <w:uiPriority w:val="99"/>
    <w:semiHidden/>
    <w:pPr>
      <w:pBdr/>
      <w:spacing/>
      <w:ind/>
    </w:pPr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www.vladatk.gov.ba/" TargetMode="External"/><Relationship Id="rId10" Type="http://schemas.openxmlformats.org/officeDocument/2006/relationships/hyperlink" Target="http://www.mksmtk.gov.ba/" TargetMode="External"/><Relationship Id="rId11" Type="http://schemas.openxmlformats.org/officeDocument/2006/relationships/hyperlink" Target="http://www.vladatk.gov.ba/" TargetMode="External"/><Relationship Id="rId12" Type="http://schemas.openxmlformats.org/officeDocument/2006/relationships/hyperlink" Target="https://mksmtk.gov.ba/" TargetMode="External"/><Relationship Id="rId13" Type="http://schemas.openxmlformats.org/officeDocument/2006/relationships/hyperlink" Target="http://www.vladatk.gov.ba/" TargetMode="External"/><Relationship Id="rId14" Type="http://schemas.openxmlformats.org/officeDocument/2006/relationships/hyperlink" Target="http://www.mksmtk.gov.ba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MKSM-AR</dc:creator>
  <cp:keywords/>
  <dc:description/>
  <cp:revision>5</cp:revision>
  <dcterms:created xsi:type="dcterms:W3CDTF">2023-11-17T11:37:00Z</dcterms:created>
  <dcterms:modified xsi:type="dcterms:W3CDTF">2023-11-20T15:05:08Z</dcterms:modified>
</cp:coreProperties>
</file>